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EDCCF">
      <w:pPr>
        <w:pStyle w:val="2"/>
        <w:spacing w:before="0" w:after="0" w:line="360" w:lineRule="auto"/>
        <w:rPr>
          <w:rFonts w:hint="eastAsia" w:ascii="华文中宋" w:hAnsi="华文中宋" w:eastAsia="华文中宋" w:cs="华文中宋"/>
          <w:sz w:val="44"/>
          <w:szCs w:val="44"/>
        </w:rPr>
      </w:pPr>
      <w:bookmarkStart w:id="4" w:name="_GoBack"/>
      <w:bookmarkEnd w:id="4"/>
      <w:bookmarkStart w:id="0" w:name="_Toc54955663"/>
      <w:bookmarkStart w:id="1" w:name="_Toc54961001"/>
      <w:bookmarkStart w:id="2" w:name="_Toc24724723"/>
      <w:bookmarkStart w:id="3" w:name="_Toc54956355"/>
      <w:r>
        <w:rPr>
          <w:rFonts w:hint="eastAsia" w:ascii="华文中宋" w:hAnsi="华文中宋" w:eastAsia="华文中宋" w:cs="华文中宋"/>
          <w:sz w:val="44"/>
          <w:szCs w:val="44"/>
          <w:lang w:val="en-US" w:eastAsia="zh-CN"/>
        </w:rPr>
        <w:t>怀来县文化广电和旅游局</w:t>
      </w:r>
      <w:r>
        <w:rPr>
          <w:rFonts w:hint="eastAsia" w:ascii="华文中宋" w:hAnsi="华文中宋" w:eastAsia="华文中宋" w:cs="华文中宋"/>
          <w:sz w:val="44"/>
          <w:szCs w:val="44"/>
        </w:rPr>
        <w:t>政务公开标准目录</w:t>
      </w:r>
      <w:bookmarkEnd w:id="0"/>
      <w:bookmarkEnd w:id="1"/>
      <w:bookmarkEnd w:id="2"/>
      <w:bookmarkEnd w:id="3"/>
    </w:p>
    <w:tbl>
      <w:tblPr>
        <w:tblStyle w:val="3"/>
        <w:tblW w:w="14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34"/>
        <w:gridCol w:w="1620"/>
        <w:gridCol w:w="1786"/>
        <w:gridCol w:w="1980"/>
        <w:gridCol w:w="1814"/>
        <w:gridCol w:w="1426"/>
        <w:gridCol w:w="1440"/>
        <w:gridCol w:w="720"/>
        <w:gridCol w:w="709"/>
        <w:gridCol w:w="551"/>
        <w:gridCol w:w="720"/>
      </w:tblGrid>
      <w:tr w14:paraId="66610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restart"/>
            <w:vAlign w:val="center"/>
          </w:tcPr>
          <w:p w14:paraId="3DD4E924">
            <w:pPr>
              <w:spacing w:line="240" w:lineRule="auto"/>
              <w:jc w:val="center"/>
              <w:rPr>
                <w:rFonts w:ascii="黑体" w:hAnsi="黑体" w:eastAsia="黑体"/>
                <w:sz w:val="22"/>
              </w:rPr>
            </w:pPr>
            <w:r>
              <w:rPr>
                <w:rFonts w:hint="eastAsia" w:ascii="黑体" w:hAnsi="黑体" w:eastAsia="黑体"/>
                <w:sz w:val="22"/>
              </w:rPr>
              <w:t>序号</w:t>
            </w:r>
          </w:p>
        </w:tc>
        <w:tc>
          <w:tcPr>
            <w:tcW w:w="2354" w:type="dxa"/>
            <w:gridSpan w:val="2"/>
            <w:vAlign w:val="center"/>
          </w:tcPr>
          <w:p w14:paraId="0224E736">
            <w:pPr>
              <w:spacing w:line="240" w:lineRule="auto"/>
              <w:jc w:val="center"/>
              <w:rPr>
                <w:rFonts w:ascii="黑体" w:hAnsi="黑体" w:eastAsia="黑体"/>
                <w:sz w:val="22"/>
              </w:rPr>
            </w:pPr>
            <w:r>
              <w:rPr>
                <w:rFonts w:hint="eastAsia" w:ascii="黑体" w:hAnsi="黑体" w:eastAsia="黑体"/>
                <w:sz w:val="22"/>
              </w:rPr>
              <w:t>公开事项</w:t>
            </w:r>
          </w:p>
        </w:tc>
        <w:tc>
          <w:tcPr>
            <w:tcW w:w="1786" w:type="dxa"/>
            <w:vMerge w:val="restart"/>
            <w:vAlign w:val="center"/>
          </w:tcPr>
          <w:p w14:paraId="0C211015">
            <w:pPr>
              <w:spacing w:line="240" w:lineRule="auto"/>
              <w:jc w:val="center"/>
              <w:rPr>
                <w:rFonts w:ascii="黑体" w:hAnsi="黑体" w:eastAsia="黑体"/>
                <w:sz w:val="22"/>
              </w:rPr>
            </w:pPr>
            <w:r>
              <w:rPr>
                <w:rFonts w:hint="eastAsia" w:ascii="黑体" w:hAnsi="黑体" w:eastAsia="黑体"/>
                <w:sz w:val="22"/>
              </w:rPr>
              <w:t>公开内容（要素）</w:t>
            </w:r>
          </w:p>
        </w:tc>
        <w:tc>
          <w:tcPr>
            <w:tcW w:w="1980" w:type="dxa"/>
            <w:vMerge w:val="restart"/>
            <w:vAlign w:val="center"/>
          </w:tcPr>
          <w:p w14:paraId="3C9B538E">
            <w:pPr>
              <w:spacing w:line="240" w:lineRule="auto"/>
              <w:jc w:val="center"/>
              <w:rPr>
                <w:rFonts w:ascii="黑体" w:hAnsi="黑体" w:eastAsia="黑体"/>
                <w:sz w:val="22"/>
              </w:rPr>
            </w:pPr>
            <w:r>
              <w:rPr>
                <w:rFonts w:hint="eastAsia" w:ascii="黑体" w:hAnsi="黑体" w:eastAsia="黑体"/>
                <w:sz w:val="22"/>
              </w:rPr>
              <w:t>公开依据</w:t>
            </w:r>
          </w:p>
        </w:tc>
        <w:tc>
          <w:tcPr>
            <w:tcW w:w="1814" w:type="dxa"/>
            <w:vMerge w:val="restart"/>
            <w:vAlign w:val="center"/>
          </w:tcPr>
          <w:p w14:paraId="3DF565C9">
            <w:pPr>
              <w:spacing w:line="240" w:lineRule="auto"/>
              <w:jc w:val="center"/>
              <w:rPr>
                <w:rFonts w:ascii="黑体" w:hAnsi="黑体" w:eastAsia="黑体"/>
                <w:sz w:val="22"/>
              </w:rPr>
            </w:pPr>
            <w:r>
              <w:rPr>
                <w:rFonts w:hint="eastAsia" w:ascii="黑体" w:hAnsi="黑体" w:eastAsia="黑体"/>
                <w:sz w:val="22"/>
              </w:rPr>
              <w:t>公开时限</w:t>
            </w:r>
          </w:p>
        </w:tc>
        <w:tc>
          <w:tcPr>
            <w:tcW w:w="1426" w:type="dxa"/>
            <w:vMerge w:val="restart"/>
            <w:vAlign w:val="center"/>
          </w:tcPr>
          <w:p w14:paraId="76B6DE40">
            <w:pPr>
              <w:spacing w:line="240" w:lineRule="auto"/>
              <w:jc w:val="center"/>
              <w:rPr>
                <w:rFonts w:ascii="黑体" w:hAnsi="黑体" w:eastAsia="黑体"/>
                <w:sz w:val="22"/>
              </w:rPr>
            </w:pPr>
            <w:r>
              <w:rPr>
                <w:rFonts w:hint="eastAsia" w:ascii="黑体" w:hAnsi="黑体" w:eastAsia="黑体"/>
                <w:sz w:val="22"/>
              </w:rPr>
              <w:t>公开主体</w:t>
            </w:r>
          </w:p>
        </w:tc>
        <w:tc>
          <w:tcPr>
            <w:tcW w:w="1440" w:type="dxa"/>
            <w:vMerge w:val="restart"/>
            <w:vAlign w:val="center"/>
          </w:tcPr>
          <w:p w14:paraId="53042DC4">
            <w:pPr>
              <w:spacing w:line="240" w:lineRule="auto"/>
              <w:jc w:val="center"/>
              <w:rPr>
                <w:rFonts w:ascii="黑体" w:hAnsi="黑体" w:eastAsia="黑体"/>
                <w:sz w:val="22"/>
              </w:rPr>
            </w:pPr>
            <w:r>
              <w:rPr>
                <w:rFonts w:hint="eastAsia" w:ascii="黑体" w:hAnsi="黑体" w:eastAsia="黑体"/>
                <w:sz w:val="22"/>
              </w:rPr>
              <w:t>公开渠道和载体</w:t>
            </w:r>
          </w:p>
        </w:tc>
        <w:tc>
          <w:tcPr>
            <w:tcW w:w="1429" w:type="dxa"/>
            <w:gridSpan w:val="2"/>
            <w:vAlign w:val="center"/>
          </w:tcPr>
          <w:p w14:paraId="7AD99120">
            <w:pPr>
              <w:spacing w:line="240" w:lineRule="auto"/>
              <w:jc w:val="center"/>
              <w:rPr>
                <w:rFonts w:ascii="黑体" w:hAnsi="黑体" w:eastAsia="黑体"/>
                <w:sz w:val="22"/>
              </w:rPr>
            </w:pPr>
            <w:r>
              <w:rPr>
                <w:rFonts w:hint="eastAsia" w:ascii="黑体" w:hAnsi="黑体" w:eastAsia="黑体"/>
                <w:sz w:val="22"/>
              </w:rPr>
              <w:t>公开对象</w:t>
            </w:r>
          </w:p>
        </w:tc>
        <w:tc>
          <w:tcPr>
            <w:tcW w:w="1271" w:type="dxa"/>
            <w:gridSpan w:val="2"/>
            <w:vAlign w:val="center"/>
          </w:tcPr>
          <w:p w14:paraId="5A197355">
            <w:pPr>
              <w:spacing w:line="240" w:lineRule="auto"/>
              <w:jc w:val="center"/>
              <w:rPr>
                <w:rFonts w:ascii="黑体" w:hAnsi="黑体" w:eastAsia="黑体"/>
                <w:sz w:val="22"/>
              </w:rPr>
            </w:pPr>
            <w:r>
              <w:rPr>
                <w:rFonts w:hint="eastAsia" w:ascii="黑体" w:hAnsi="黑体" w:eastAsia="黑体"/>
                <w:sz w:val="22"/>
              </w:rPr>
              <w:t>公开方式</w:t>
            </w:r>
          </w:p>
        </w:tc>
      </w:tr>
      <w:tr w14:paraId="20242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Merge w:val="continue"/>
            <w:vAlign w:val="center"/>
          </w:tcPr>
          <w:p w14:paraId="685AAD55">
            <w:pPr>
              <w:spacing w:line="240" w:lineRule="auto"/>
              <w:jc w:val="center"/>
              <w:rPr>
                <w:rFonts w:ascii="黑体" w:hAnsi="黑体" w:eastAsia="黑体"/>
                <w:sz w:val="22"/>
              </w:rPr>
            </w:pPr>
          </w:p>
        </w:tc>
        <w:tc>
          <w:tcPr>
            <w:tcW w:w="734" w:type="dxa"/>
            <w:vAlign w:val="center"/>
          </w:tcPr>
          <w:p w14:paraId="6F391B7A">
            <w:pPr>
              <w:spacing w:line="240" w:lineRule="auto"/>
              <w:jc w:val="center"/>
              <w:rPr>
                <w:rFonts w:ascii="黑体" w:hAnsi="黑体" w:eastAsia="黑体"/>
                <w:sz w:val="22"/>
              </w:rPr>
            </w:pPr>
            <w:r>
              <w:rPr>
                <w:rFonts w:hint="eastAsia" w:ascii="黑体" w:hAnsi="黑体" w:eastAsia="黑体"/>
                <w:sz w:val="22"/>
              </w:rPr>
              <w:t>一级事项</w:t>
            </w:r>
          </w:p>
        </w:tc>
        <w:tc>
          <w:tcPr>
            <w:tcW w:w="1620" w:type="dxa"/>
            <w:vAlign w:val="center"/>
          </w:tcPr>
          <w:p w14:paraId="5A50E9C4">
            <w:pPr>
              <w:spacing w:line="240" w:lineRule="auto"/>
              <w:jc w:val="center"/>
              <w:rPr>
                <w:rFonts w:ascii="黑体" w:hAnsi="黑体" w:eastAsia="黑体"/>
                <w:sz w:val="22"/>
              </w:rPr>
            </w:pPr>
            <w:r>
              <w:rPr>
                <w:rFonts w:hint="eastAsia" w:ascii="黑体" w:hAnsi="黑体" w:eastAsia="黑体"/>
                <w:sz w:val="22"/>
              </w:rPr>
              <w:t>二级事项</w:t>
            </w:r>
          </w:p>
        </w:tc>
        <w:tc>
          <w:tcPr>
            <w:tcW w:w="1786" w:type="dxa"/>
            <w:vMerge w:val="continue"/>
            <w:vAlign w:val="center"/>
          </w:tcPr>
          <w:p w14:paraId="4E890126">
            <w:pPr>
              <w:spacing w:line="240" w:lineRule="auto"/>
              <w:jc w:val="center"/>
              <w:rPr>
                <w:rFonts w:ascii="黑体" w:hAnsi="黑体" w:eastAsia="黑体"/>
                <w:sz w:val="22"/>
              </w:rPr>
            </w:pPr>
          </w:p>
        </w:tc>
        <w:tc>
          <w:tcPr>
            <w:tcW w:w="1980" w:type="dxa"/>
            <w:vMerge w:val="continue"/>
            <w:vAlign w:val="center"/>
          </w:tcPr>
          <w:p w14:paraId="129CE334">
            <w:pPr>
              <w:spacing w:line="240" w:lineRule="auto"/>
              <w:jc w:val="center"/>
              <w:rPr>
                <w:rFonts w:ascii="黑体" w:hAnsi="黑体" w:eastAsia="黑体"/>
                <w:sz w:val="22"/>
              </w:rPr>
            </w:pPr>
          </w:p>
        </w:tc>
        <w:tc>
          <w:tcPr>
            <w:tcW w:w="1814" w:type="dxa"/>
            <w:vMerge w:val="continue"/>
            <w:vAlign w:val="center"/>
          </w:tcPr>
          <w:p w14:paraId="67F61658">
            <w:pPr>
              <w:spacing w:line="240" w:lineRule="auto"/>
              <w:jc w:val="center"/>
              <w:rPr>
                <w:rFonts w:ascii="黑体" w:hAnsi="黑体" w:eastAsia="黑体"/>
                <w:sz w:val="22"/>
              </w:rPr>
            </w:pPr>
          </w:p>
        </w:tc>
        <w:tc>
          <w:tcPr>
            <w:tcW w:w="1426" w:type="dxa"/>
            <w:vMerge w:val="continue"/>
            <w:vAlign w:val="center"/>
          </w:tcPr>
          <w:p w14:paraId="3ED3B829">
            <w:pPr>
              <w:spacing w:line="240" w:lineRule="auto"/>
              <w:jc w:val="center"/>
              <w:rPr>
                <w:rFonts w:ascii="黑体" w:hAnsi="黑体" w:eastAsia="黑体"/>
                <w:sz w:val="22"/>
              </w:rPr>
            </w:pPr>
          </w:p>
        </w:tc>
        <w:tc>
          <w:tcPr>
            <w:tcW w:w="1440" w:type="dxa"/>
            <w:vMerge w:val="continue"/>
            <w:vAlign w:val="center"/>
          </w:tcPr>
          <w:p w14:paraId="13CB403C">
            <w:pPr>
              <w:spacing w:line="240" w:lineRule="auto"/>
              <w:jc w:val="center"/>
              <w:rPr>
                <w:rFonts w:ascii="黑体" w:hAnsi="黑体" w:eastAsia="黑体"/>
                <w:sz w:val="22"/>
              </w:rPr>
            </w:pPr>
          </w:p>
        </w:tc>
        <w:tc>
          <w:tcPr>
            <w:tcW w:w="720" w:type="dxa"/>
            <w:vAlign w:val="center"/>
          </w:tcPr>
          <w:p w14:paraId="17394630">
            <w:pPr>
              <w:spacing w:line="240" w:lineRule="auto"/>
              <w:jc w:val="center"/>
              <w:rPr>
                <w:rFonts w:ascii="黑体" w:hAnsi="黑体" w:eastAsia="黑体"/>
                <w:sz w:val="22"/>
              </w:rPr>
            </w:pPr>
            <w:r>
              <w:rPr>
                <w:rFonts w:hint="eastAsia" w:ascii="黑体" w:hAnsi="黑体" w:eastAsia="黑体"/>
                <w:sz w:val="22"/>
              </w:rPr>
              <w:t>全社会</w:t>
            </w:r>
          </w:p>
        </w:tc>
        <w:tc>
          <w:tcPr>
            <w:tcW w:w="709" w:type="dxa"/>
            <w:vAlign w:val="center"/>
          </w:tcPr>
          <w:p w14:paraId="344DF1E2">
            <w:pPr>
              <w:spacing w:line="240" w:lineRule="auto"/>
              <w:jc w:val="center"/>
              <w:rPr>
                <w:rFonts w:ascii="黑体" w:hAnsi="黑体" w:eastAsia="黑体"/>
                <w:sz w:val="22"/>
              </w:rPr>
            </w:pPr>
            <w:r>
              <w:rPr>
                <w:rFonts w:hint="eastAsia" w:ascii="黑体" w:hAnsi="黑体" w:eastAsia="黑体"/>
                <w:sz w:val="22"/>
              </w:rPr>
              <w:t>特定群众</w:t>
            </w:r>
          </w:p>
        </w:tc>
        <w:tc>
          <w:tcPr>
            <w:tcW w:w="551" w:type="dxa"/>
            <w:vAlign w:val="center"/>
          </w:tcPr>
          <w:p w14:paraId="70704707">
            <w:pPr>
              <w:spacing w:line="240" w:lineRule="auto"/>
              <w:jc w:val="center"/>
              <w:rPr>
                <w:rFonts w:ascii="黑体" w:hAnsi="黑体" w:eastAsia="黑体"/>
                <w:sz w:val="22"/>
              </w:rPr>
            </w:pPr>
            <w:r>
              <w:rPr>
                <w:rFonts w:hint="eastAsia" w:ascii="黑体" w:hAnsi="黑体" w:eastAsia="黑体"/>
                <w:sz w:val="22"/>
              </w:rPr>
              <w:t>主动</w:t>
            </w:r>
          </w:p>
        </w:tc>
        <w:tc>
          <w:tcPr>
            <w:tcW w:w="720" w:type="dxa"/>
            <w:vAlign w:val="center"/>
          </w:tcPr>
          <w:p w14:paraId="4683A593">
            <w:pPr>
              <w:spacing w:line="240" w:lineRule="auto"/>
              <w:jc w:val="center"/>
              <w:rPr>
                <w:rFonts w:ascii="黑体" w:hAnsi="黑体" w:eastAsia="黑体"/>
                <w:sz w:val="22"/>
              </w:rPr>
            </w:pPr>
            <w:r>
              <w:rPr>
                <w:rFonts w:hint="eastAsia" w:ascii="黑体" w:hAnsi="黑体" w:eastAsia="黑体"/>
                <w:sz w:val="22"/>
              </w:rPr>
              <w:t>依申请公开</w:t>
            </w:r>
          </w:p>
        </w:tc>
      </w:tr>
      <w:tr w14:paraId="64D6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5" w:hRule="atLeast"/>
          <w:jc w:val="center"/>
        </w:trPr>
        <w:tc>
          <w:tcPr>
            <w:tcW w:w="540" w:type="dxa"/>
            <w:vAlign w:val="center"/>
          </w:tcPr>
          <w:p w14:paraId="1F7BACF7">
            <w:pPr>
              <w:spacing w:line="240" w:lineRule="auto"/>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1</w:t>
            </w:r>
          </w:p>
        </w:tc>
        <w:tc>
          <w:tcPr>
            <w:tcW w:w="734" w:type="dxa"/>
            <w:vAlign w:val="center"/>
          </w:tcPr>
          <w:p w14:paraId="2B7E1438">
            <w:pPr>
              <w:spacing w:line="240" w:lineRule="auto"/>
              <w:rPr>
                <w:rFonts w:ascii="仿宋_GB2312" w:eastAsia="仿宋_GB2312"/>
                <w:sz w:val="18"/>
                <w:szCs w:val="18"/>
              </w:rPr>
            </w:pPr>
            <w:r>
              <w:rPr>
                <w:rFonts w:hint="eastAsia" w:ascii="仿宋_GB2312" w:eastAsia="仿宋_GB2312"/>
                <w:sz w:val="18"/>
                <w:szCs w:val="18"/>
              </w:rPr>
              <w:t>行政处罚</w:t>
            </w:r>
          </w:p>
        </w:tc>
        <w:tc>
          <w:tcPr>
            <w:tcW w:w="1620" w:type="dxa"/>
            <w:vAlign w:val="center"/>
          </w:tcPr>
          <w:p w14:paraId="509056B3">
            <w:pPr>
              <w:spacing w:line="240" w:lineRule="auto"/>
              <w:rPr>
                <w:rFonts w:ascii="仿宋_GB2312" w:eastAsia="仿宋_GB2312"/>
                <w:sz w:val="18"/>
                <w:szCs w:val="18"/>
              </w:rPr>
            </w:pPr>
            <w:r>
              <w:rPr>
                <w:rFonts w:hint="eastAsia" w:ascii="仿宋_GB2312" w:eastAsia="仿宋_GB2312"/>
                <w:sz w:val="18"/>
                <w:szCs w:val="18"/>
              </w:rPr>
              <w:t>对互联网上网服务营业场所违法行为的行政处罚</w:t>
            </w:r>
          </w:p>
        </w:tc>
        <w:tc>
          <w:tcPr>
            <w:tcW w:w="1786" w:type="dxa"/>
            <w:vAlign w:val="center"/>
          </w:tcPr>
          <w:p w14:paraId="15E46E54">
            <w:pPr>
              <w:spacing w:line="240" w:lineRule="auto"/>
              <w:rPr>
                <w:rFonts w:ascii="仿宋_GB2312" w:eastAsia="仿宋_GB2312"/>
                <w:sz w:val="18"/>
                <w:szCs w:val="18"/>
              </w:rPr>
            </w:pPr>
            <w:r>
              <w:rPr>
                <w:rFonts w:hint="eastAsia" w:ascii="仿宋_GB2312" w:eastAsia="仿宋_GB2312"/>
                <w:sz w:val="18"/>
                <w:szCs w:val="18"/>
              </w:rPr>
              <w:t>1.主体信息；</w:t>
            </w:r>
            <w:r>
              <w:rPr>
                <w:rFonts w:hint="eastAsia" w:ascii="仿宋_GB2312" w:eastAsia="仿宋_GB2312"/>
                <w:sz w:val="18"/>
                <w:szCs w:val="18"/>
              </w:rPr>
              <w:br w:type="textWrapping"/>
            </w:r>
            <w:r>
              <w:rPr>
                <w:rFonts w:hint="eastAsia" w:ascii="仿宋_GB2312" w:eastAsia="仿宋_GB2312"/>
                <w:sz w:val="18"/>
                <w:szCs w:val="18"/>
              </w:rPr>
              <w:t>2.案由；</w:t>
            </w:r>
            <w:r>
              <w:rPr>
                <w:rFonts w:hint="eastAsia" w:ascii="仿宋_GB2312" w:eastAsia="仿宋_GB2312"/>
                <w:sz w:val="18"/>
                <w:szCs w:val="18"/>
              </w:rPr>
              <w:br w:type="textWrapping"/>
            </w:r>
            <w:r>
              <w:rPr>
                <w:rFonts w:hint="eastAsia" w:ascii="仿宋_GB2312" w:eastAsia="仿宋_GB2312"/>
                <w:sz w:val="18"/>
                <w:szCs w:val="18"/>
              </w:rPr>
              <w:t>3.处罚依据；</w:t>
            </w:r>
            <w:r>
              <w:rPr>
                <w:rFonts w:hint="eastAsia" w:ascii="仿宋_GB2312" w:eastAsia="仿宋_GB2312"/>
                <w:sz w:val="18"/>
                <w:szCs w:val="18"/>
              </w:rPr>
              <w:br w:type="textWrapping"/>
            </w:r>
            <w:r>
              <w:rPr>
                <w:rFonts w:hint="eastAsia" w:ascii="仿宋_GB2312" w:eastAsia="仿宋_GB2312"/>
                <w:sz w:val="18"/>
                <w:szCs w:val="18"/>
              </w:rPr>
              <w:t>4.处罚结果。</w:t>
            </w:r>
          </w:p>
        </w:tc>
        <w:tc>
          <w:tcPr>
            <w:tcW w:w="1980" w:type="dxa"/>
            <w:vAlign w:val="center"/>
          </w:tcPr>
          <w:p w14:paraId="5A93C2C7">
            <w:pPr>
              <w:spacing w:line="240" w:lineRule="auto"/>
              <w:rPr>
                <w:rFonts w:ascii="仿宋_GB2312" w:eastAsia="仿宋_GB2312"/>
                <w:sz w:val="18"/>
                <w:szCs w:val="18"/>
              </w:rPr>
            </w:pPr>
            <w:r>
              <w:rPr>
                <w:rFonts w:hint="eastAsia" w:ascii="仿宋_GB2312" w:eastAsia="仿宋_GB2312"/>
                <w:sz w:val="18"/>
                <w:szCs w:val="18"/>
              </w:rPr>
              <w:t>《互联网上网服务营业场所管理条例》、《国务院关于促进市场公平竞争维护市场正常秩序的若干意见》、《国务院办公厅关于全面推行行政执法公示制度执法全过程记录制度重大执法决定法制审核制度的指导意见》</w:t>
            </w:r>
          </w:p>
        </w:tc>
        <w:tc>
          <w:tcPr>
            <w:tcW w:w="1814" w:type="dxa"/>
            <w:vAlign w:val="center"/>
          </w:tcPr>
          <w:p w14:paraId="40718CFE">
            <w:pPr>
              <w:spacing w:line="240" w:lineRule="auto"/>
              <w:rPr>
                <w:rFonts w:ascii="仿宋_GB2312" w:eastAsia="仿宋_GB2312"/>
                <w:sz w:val="18"/>
                <w:szCs w:val="18"/>
              </w:rPr>
            </w:pPr>
            <w:r>
              <w:rPr>
                <w:rFonts w:hint="eastAsia" w:ascii="仿宋_GB2312" w:eastAsia="仿宋_GB2312"/>
                <w:sz w:val="18"/>
                <w:szCs w:val="18"/>
              </w:rPr>
              <w:t>执法决定信息在决定作出之日起7个工作日内公开，其他相关信息形成或变更之日起20个工作日内公开</w:t>
            </w:r>
          </w:p>
        </w:tc>
        <w:tc>
          <w:tcPr>
            <w:tcW w:w="1426" w:type="dxa"/>
            <w:vAlign w:val="center"/>
          </w:tcPr>
          <w:p w14:paraId="02C4A232">
            <w:pPr>
              <w:spacing w:line="240" w:lineRule="auto"/>
              <w:rPr>
                <w:rFonts w:ascii="仿宋_GB2312" w:eastAsia="仿宋_GB2312"/>
                <w:sz w:val="18"/>
                <w:szCs w:val="18"/>
              </w:rPr>
            </w:pPr>
            <w:r>
              <w:rPr>
                <w:rFonts w:hint="eastAsia" w:ascii="仿宋_GB2312" w:eastAsia="仿宋_GB2312"/>
                <w:sz w:val="18"/>
                <w:szCs w:val="18"/>
              </w:rPr>
              <w:t>文化广电和旅游局</w:t>
            </w:r>
          </w:p>
        </w:tc>
        <w:tc>
          <w:tcPr>
            <w:tcW w:w="1440" w:type="dxa"/>
            <w:vAlign w:val="center"/>
          </w:tcPr>
          <w:p w14:paraId="733093AF">
            <w:pPr>
              <w:spacing w:line="240" w:lineRule="auto"/>
              <w:rPr>
                <w:rFonts w:ascii="仿宋_GB2312" w:eastAsia="仿宋_GB2312"/>
                <w:sz w:val="18"/>
                <w:szCs w:val="18"/>
              </w:rPr>
            </w:pPr>
            <w:r>
              <w:rPr>
                <w:rFonts w:hint="eastAsia" w:ascii="仿宋_GB2312" w:eastAsia="仿宋_GB2312"/>
                <w:sz w:val="18"/>
                <w:szCs w:val="18"/>
              </w:rPr>
              <w:t xml:space="preserve">■政府网站       </w:t>
            </w:r>
          </w:p>
        </w:tc>
        <w:tc>
          <w:tcPr>
            <w:tcW w:w="720" w:type="dxa"/>
            <w:vAlign w:val="center"/>
          </w:tcPr>
          <w:p w14:paraId="04FE6AAF">
            <w:pPr>
              <w:spacing w:line="240" w:lineRule="auto"/>
              <w:jc w:val="center"/>
              <w:rPr>
                <w:rFonts w:ascii="仿宋_GB2312" w:eastAsia="仿宋_GB2312"/>
                <w:sz w:val="18"/>
                <w:szCs w:val="18"/>
              </w:rPr>
            </w:pPr>
            <w:r>
              <w:rPr>
                <w:rFonts w:hint="eastAsia" w:ascii="仿宋_GB2312" w:eastAsia="仿宋_GB2312"/>
                <w:sz w:val="18"/>
                <w:szCs w:val="18"/>
              </w:rPr>
              <w:t>√</w:t>
            </w:r>
          </w:p>
        </w:tc>
        <w:tc>
          <w:tcPr>
            <w:tcW w:w="709" w:type="dxa"/>
            <w:vAlign w:val="center"/>
          </w:tcPr>
          <w:p w14:paraId="5C43F5D6">
            <w:pPr>
              <w:spacing w:line="240" w:lineRule="auto"/>
              <w:jc w:val="center"/>
              <w:rPr>
                <w:rFonts w:ascii="仿宋_GB2312" w:eastAsia="仿宋_GB2312"/>
                <w:sz w:val="18"/>
                <w:szCs w:val="18"/>
              </w:rPr>
            </w:pPr>
          </w:p>
        </w:tc>
        <w:tc>
          <w:tcPr>
            <w:tcW w:w="551" w:type="dxa"/>
            <w:vAlign w:val="center"/>
          </w:tcPr>
          <w:p w14:paraId="4319AA2A">
            <w:pPr>
              <w:spacing w:line="240" w:lineRule="auto"/>
              <w:jc w:val="center"/>
              <w:rPr>
                <w:rFonts w:ascii="仿宋_GB2312" w:eastAsia="仿宋_GB2312"/>
                <w:sz w:val="18"/>
                <w:szCs w:val="18"/>
              </w:rPr>
            </w:pPr>
            <w:r>
              <w:rPr>
                <w:rFonts w:hint="eastAsia" w:ascii="仿宋_GB2312" w:eastAsia="仿宋_GB2312"/>
                <w:sz w:val="18"/>
                <w:szCs w:val="18"/>
              </w:rPr>
              <w:t>√</w:t>
            </w:r>
          </w:p>
        </w:tc>
        <w:tc>
          <w:tcPr>
            <w:tcW w:w="720" w:type="dxa"/>
            <w:vAlign w:val="center"/>
          </w:tcPr>
          <w:p w14:paraId="34AE240E">
            <w:pPr>
              <w:spacing w:line="240" w:lineRule="auto"/>
              <w:jc w:val="center"/>
              <w:rPr>
                <w:rFonts w:ascii="仿宋_GB2312" w:eastAsia="仿宋_GB2312"/>
                <w:sz w:val="18"/>
                <w:szCs w:val="18"/>
              </w:rPr>
            </w:pPr>
          </w:p>
        </w:tc>
      </w:tr>
      <w:tr w14:paraId="3614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5467BAC3">
            <w:pPr>
              <w:spacing w:line="240" w:lineRule="auto"/>
              <w:jc w:val="center"/>
              <w:rPr>
                <w:rFonts w:hint="default" w:ascii="仿宋_GB2312" w:eastAsia="仿宋_GB2312"/>
                <w:sz w:val="18"/>
                <w:szCs w:val="18"/>
                <w:lang w:val="en-US" w:eastAsia="zh-CN"/>
              </w:rPr>
            </w:pPr>
            <w:r>
              <w:rPr>
                <w:rFonts w:hint="eastAsia" w:ascii="仿宋_GB2312" w:eastAsia="仿宋_GB2312"/>
                <w:sz w:val="18"/>
                <w:szCs w:val="18"/>
                <w:lang w:val="en-US" w:eastAsia="zh-CN"/>
              </w:rPr>
              <w:t>2</w:t>
            </w:r>
          </w:p>
        </w:tc>
        <w:tc>
          <w:tcPr>
            <w:tcW w:w="734" w:type="dxa"/>
            <w:vAlign w:val="center"/>
          </w:tcPr>
          <w:p w14:paraId="0BDD175D">
            <w:pPr>
              <w:spacing w:line="240" w:lineRule="auto"/>
              <w:rPr>
                <w:rFonts w:hint="eastAsia" w:ascii="仿宋_GB2312" w:eastAsia="仿宋_GB2312"/>
                <w:sz w:val="18"/>
                <w:szCs w:val="18"/>
                <w:lang w:val="en-US" w:eastAsia="zh-CN"/>
              </w:rPr>
            </w:pPr>
            <w:r>
              <w:rPr>
                <w:rFonts w:hint="eastAsia" w:ascii="仿宋_GB2312" w:eastAsia="仿宋_GB2312"/>
                <w:sz w:val="18"/>
                <w:szCs w:val="18"/>
                <w:lang w:val="en-US" w:eastAsia="zh-CN"/>
              </w:rPr>
              <w:t>行政处罚</w:t>
            </w:r>
          </w:p>
        </w:tc>
        <w:tc>
          <w:tcPr>
            <w:tcW w:w="1620" w:type="dxa"/>
            <w:vAlign w:val="center"/>
          </w:tcPr>
          <w:p w14:paraId="47A0CC20">
            <w:pPr>
              <w:spacing w:line="240" w:lineRule="auto"/>
              <w:rPr>
                <w:rFonts w:hint="eastAsia" w:ascii="仿宋_GB2312" w:eastAsia="仿宋_GB2312"/>
                <w:sz w:val="18"/>
                <w:szCs w:val="18"/>
              </w:rPr>
            </w:pPr>
            <w:r>
              <w:rPr>
                <w:rFonts w:hint="eastAsia" w:ascii="仿宋_GB2312" w:eastAsia="仿宋_GB2312"/>
                <w:sz w:val="18"/>
                <w:szCs w:val="18"/>
              </w:rPr>
              <w:t>对娱乐场所违法行为的行政处罚</w:t>
            </w:r>
          </w:p>
        </w:tc>
        <w:tc>
          <w:tcPr>
            <w:tcW w:w="1786" w:type="dxa"/>
            <w:vAlign w:val="center"/>
          </w:tcPr>
          <w:p w14:paraId="28CE6835">
            <w:pPr>
              <w:spacing w:line="240" w:lineRule="auto"/>
              <w:rPr>
                <w:rFonts w:hint="eastAsia" w:ascii="仿宋_GB2312" w:eastAsia="仿宋_GB2312"/>
                <w:sz w:val="18"/>
                <w:szCs w:val="18"/>
              </w:rPr>
            </w:pPr>
            <w:r>
              <w:rPr>
                <w:rFonts w:hint="eastAsia" w:ascii="仿宋_GB2312" w:eastAsia="仿宋_GB2312"/>
                <w:sz w:val="18"/>
                <w:szCs w:val="18"/>
              </w:rPr>
              <w:t>1.主体信息；</w:t>
            </w:r>
            <w:r>
              <w:rPr>
                <w:rFonts w:hint="eastAsia" w:ascii="仿宋_GB2312" w:eastAsia="仿宋_GB2312"/>
                <w:sz w:val="18"/>
                <w:szCs w:val="18"/>
              </w:rPr>
              <w:br w:type="textWrapping"/>
            </w:r>
            <w:r>
              <w:rPr>
                <w:rFonts w:hint="eastAsia" w:ascii="仿宋_GB2312" w:eastAsia="仿宋_GB2312"/>
                <w:sz w:val="18"/>
                <w:szCs w:val="18"/>
              </w:rPr>
              <w:t>2.案由；</w:t>
            </w:r>
            <w:r>
              <w:rPr>
                <w:rFonts w:hint="eastAsia" w:ascii="仿宋_GB2312" w:eastAsia="仿宋_GB2312"/>
                <w:sz w:val="18"/>
                <w:szCs w:val="18"/>
              </w:rPr>
              <w:br w:type="textWrapping"/>
            </w:r>
            <w:r>
              <w:rPr>
                <w:rFonts w:hint="eastAsia" w:ascii="仿宋_GB2312" w:eastAsia="仿宋_GB2312"/>
                <w:sz w:val="18"/>
                <w:szCs w:val="18"/>
              </w:rPr>
              <w:t>3.处罚依据；</w:t>
            </w:r>
            <w:r>
              <w:rPr>
                <w:rFonts w:hint="eastAsia" w:ascii="仿宋_GB2312" w:eastAsia="仿宋_GB2312"/>
                <w:sz w:val="18"/>
                <w:szCs w:val="18"/>
              </w:rPr>
              <w:br w:type="textWrapping"/>
            </w:r>
            <w:r>
              <w:rPr>
                <w:rFonts w:hint="eastAsia" w:ascii="仿宋_GB2312" w:eastAsia="仿宋_GB2312"/>
                <w:sz w:val="18"/>
                <w:szCs w:val="18"/>
              </w:rPr>
              <w:t>4.处罚结果。</w:t>
            </w:r>
          </w:p>
        </w:tc>
        <w:tc>
          <w:tcPr>
            <w:tcW w:w="1980" w:type="dxa"/>
            <w:vAlign w:val="center"/>
          </w:tcPr>
          <w:p w14:paraId="1738C7DA">
            <w:pPr>
              <w:spacing w:line="240" w:lineRule="auto"/>
              <w:rPr>
                <w:rFonts w:hint="eastAsia" w:ascii="仿宋_GB2312" w:eastAsia="仿宋_GB2312"/>
                <w:sz w:val="18"/>
                <w:szCs w:val="18"/>
              </w:rPr>
            </w:pPr>
            <w:r>
              <w:rPr>
                <w:rFonts w:hint="eastAsia" w:ascii="仿宋_GB2312" w:eastAsia="仿宋_GB2312"/>
                <w:sz w:val="18"/>
                <w:szCs w:val="18"/>
              </w:rPr>
              <w:t>《娱乐场所管理条例》、《国务院关于促进市场公平竞争维护市场正常秩序的若干意见》、《国务院办公厅关于全面推行行政执法公示制度执法全过程记录制度重大执法决定法制审核制度的指导意见》、《娱乐场所管理办法》</w:t>
            </w:r>
          </w:p>
        </w:tc>
        <w:tc>
          <w:tcPr>
            <w:tcW w:w="1814" w:type="dxa"/>
            <w:vAlign w:val="center"/>
          </w:tcPr>
          <w:p w14:paraId="7B2DCDAF">
            <w:pPr>
              <w:spacing w:line="240" w:lineRule="auto"/>
              <w:rPr>
                <w:rFonts w:hint="eastAsia" w:ascii="仿宋_GB2312" w:eastAsia="仿宋_GB2312"/>
                <w:sz w:val="18"/>
                <w:szCs w:val="18"/>
              </w:rPr>
            </w:pPr>
            <w:r>
              <w:rPr>
                <w:rFonts w:hint="eastAsia" w:ascii="仿宋_GB2312" w:eastAsia="仿宋_GB2312"/>
                <w:sz w:val="18"/>
                <w:szCs w:val="18"/>
              </w:rPr>
              <w:t>执法决定信息在决定作出之日起7个工作日内公开，其他相关信息形成或变更之日起20个工作日内公开</w:t>
            </w:r>
          </w:p>
        </w:tc>
        <w:tc>
          <w:tcPr>
            <w:tcW w:w="1426" w:type="dxa"/>
            <w:vAlign w:val="center"/>
          </w:tcPr>
          <w:p w14:paraId="05CF100F">
            <w:pPr>
              <w:spacing w:line="240" w:lineRule="auto"/>
              <w:rPr>
                <w:rFonts w:hint="eastAsia" w:ascii="仿宋_GB2312" w:eastAsia="仿宋_GB2312"/>
                <w:sz w:val="18"/>
                <w:szCs w:val="18"/>
              </w:rPr>
            </w:pPr>
            <w:r>
              <w:rPr>
                <w:rFonts w:hint="eastAsia" w:ascii="仿宋_GB2312" w:eastAsia="仿宋_GB2312"/>
                <w:sz w:val="18"/>
                <w:szCs w:val="18"/>
              </w:rPr>
              <w:t>文化广电和旅游局</w:t>
            </w:r>
          </w:p>
        </w:tc>
        <w:tc>
          <w:tcPr>
            <w:tcW w:w="1440" w:type="dxa"/>
            <w:vAlign w:val="center"/>
          </w:tcPr>
          <w:p w14:paraId="6B65D48B">
            <w:pPr>
              <w:spacing w:line="240" w:lineRule="auto"/>
              <w:rPr>
                <w:rFonts w:hint="eastAsia" w:ascii="仿宋_GB2312" w:eastAsia="仿宋_GB2312"/>
                <w:sz w:val="18"/>
                <w:szCs w:val="18"/>
              </w:rPr>
            </w:pPr>
            <w:r>
              <w:rPr>
                <w:rFonts w:hint="eastAsia" w:ascii="仿宋_GB2312" w:eastAsia="仿宋_GB2312"/>
                <w:sz w:val="18"/>
                <w:szCs w:val="18"/>
              </w:rPr>
              <w:t xml:space="preserve">■政府网站       </w:t>
            </w:r>
          </w:p>
        </w:tc>
        <w:tc>
          <w:tcPr>
            <w:tcW w:w="720" w:type="dxa"/>
            <w:vAlign w:val="center"/>
          </w:tcPr>
          <w:p w14:paraId="76F145D2">
            <w:pPr>
              <w:spacing w:line="240" w:lineRule="auto"/>
              <w:jc w:val="center"/>
              <w:rPr>
                <w:rFonts w:hint="eastAsia" w:ascii="仿宋_GB2312" w:eastAsia="仿宋_GB2312"/>
                <w:sz w:val="18"/>
                <w:szCs w:val="18"/>
              </w:rPr>
            </w:pPr>
            <w:r>
              <w:rPr>
                <w:rFonts w:hint="eastAsia" w:ascii="仿宋_GB2312" w:eastAsia="仿宋_GB2312"/>
                <w:sz w:val="18"/>
                <w:szCs w:val="18"/>
              </w:rPr>
              <w:t>√</w:t>
            </w:r>
          </w:p>
        </w:tc>
        <w:tc>
          <w:tcPr>
            <w:tcW w:w="709" w:type="dxa"/>
            <w:vAlign w:val="center"/>
          </w:tcPr>
          <w:p w14:paraId="4049E78A">
            <w:pPr>
              <w:spacing w:line="240" w:lineRule="auto"/>
              <w:jc w:val="center"/>
              <w:rPr>
                <w:rFonts w:ascii="仿宋_GB2312" w:eastAsia="仿宋_GB2312"/>
                <w:sz w:val="18"/>
                <w:szCs w:val="18"/>
              </w:rPr>
            </w:pPr>
          </w:p>
        </w:tc>
        <w:tc>
          <w:tcPr>
            <w:tcW w:w="551" w:type="dxa"/>
            <w:vAlign w:val="center"/>
          </w:tcPr>
          <w:p w14:paraId="11D101B9">
            <w:pPr>
              <w:spacing w:line="240" w:lineRule="auto"/>
              <w:jc w:val="center"/>
              <w:rPr>
                <w:rFonts w:hint="eastAsia" w:ascii="仿宋_GB2312" w:eastAsia="仿宋_GB2312"/>
                <w:sz w:val="18"/>
                <w:szCs w:val="18"/>
              </w:rPr>
            </w:pPr>
            <w:r>
              <w:rPr>
                <w:rFonts w:hint="eastAsia" w:ascii="仿宋_GB2312" w:eastAsia="仿宋_GB2312"/>
                <w:sz w:val="18"/>
                <w:szCs w:val="18"/>
              </w:rPr>
              <w:t>√</w:t>
            </w:r>
          </w:p>
        </w:tc>
        <w:tc>
          <w:tcPr>
            <w:tcW w:w="720" w:type="dxa"/>
            <w:vAlign w:val="center"/>
          </w:tcPr>
          <w:p w14:paraId="38956A9E">
            <w:pPr>
              <w:spacing w:line="240" w:lineRule="auto"/>
              <w:jc w:val="center"/>
              <w:rPr>
                <w:rFonts w:ascii="仿宋_GB2312" w:eastAsia="仿宋_GB2312"/>
                <w:sz w:val="18"/>
                <w:szCs w:val="18"/>
              </w:rPr>
            </w:pPr>
          </w:p>
        </w:tc>
      </w:tr>
      <w:tr w14:paraId="7BEF3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7740FF79">
            <w:pPr>
              <w:spacing w:line="240" w:lineRule="auto"/>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3</w:t>
            </w:r>
          </w:p>
        </w:tc>
        <w:tc>
          <w:tcPr>
            <w:tcW w:w="734" w:type="dxa"/>
            <w:vAlign w:val="center"/>
          </w:tcPr>
          <w:p w14:paraId="5BD58C8D">
            <w:pPr>
              <w:spacing w:line="240" w:lineRule="auto"/>
              <w:rPr>
                <w:rFonts w:ascii="仿宋_GB2312" w:eastAsia="仿宋_GB2312"/>
                <w:sz w:val="18"/>
                <w:szCs w:val="18"/>
              </w:rPr>
            </w:pPr>
            <w:r>
              <w:rPr>
                <w:rFonts w:hint="eastAsia" w:ascii="仿宋_GB2312" w:eastAsia="仿宋_GB2312"/>
                <w:sz w:val="18"/>
                <w:szCs w:val="18"/>
              </w:rPr>
              <w:t>行政处罚</w:t>
            </w:r>
          </w:p>
        </w:tc>
        <w:tc>
          <w:tcPr>
            <w:tcW w:w="1620" w:type="dxa"/>
            <w:vAlign w:val="center"/>
          </w:tcPr>
          <w:p w14:paraId="48FCAC94">
            <w:pPr>
              <w:spacing w:line="240" w:lineRule="auto"/>
              <w:rPr>
                <w:rFonts w:ascii="仿宋_GB2312" w:eastAsia="仿宋_GB2312"/>
                <w:sz w:val="18"/>
                <w:szCs w:val="18"/>
              </w:rPr>
            </w:pPr>
            <w:r>
              <w:rPr>
                <w:rFonts w:hint="eastAsia" w:ascii="仿宋_GB2312" w:eastAsia="仿宋_GB2312"/>
                <w:sz w:val="18"/>
                <w:szCs w:val="18"/>
              </w:rPr>
              <w:t>对营业性演出违法行为的行政处罚</w:t>
            </w:r>
          </w:p>
        </w:tc>
        <w:tc>
          <w:tcPr>
            <w:tcW w:w="1786" w:type="dxa"/>
            <w:vAlign w:val="center"/>
          </w:tcPr>
          <w:p w14:paraId="41C2B679">
            <w:pPr>
              <w:spacing w:line="240" w:lineRule="auto"/>
              <w:rPr>
                <w:rFonts w:ascii="仿宋_GB2312" w:eastAsia="仿宋_GB2312"/>
                <w:sz w:val="18"/>
                <w:szCs w:val="18"/>
              </w:rPr>
            </w:pPr>
            <w:r>
              <w:rPr>
                <w:rFonts w:hint="eastAsia" w:ascii="仿宋_GB2312" w:eastAsia="仿宋_GB2312"/>
                <w:sz w:val="18"/>
                <w:szCs w:val="18"/>
              </w:rPr>
              <w:t>1.主体信息；</w:t>
            </w:r>
            <w:r>
              <w:rPr>
                <w:rFonts w:hint="eastAsia" w:ascii="仿宋_GB2312" w:eastAsia="仿宋_GB2312"/>
                <w:sz w:val="18"/>
                <w:szCs w:val="18"/>
              </w:rPr>
              <w:br w:type="textWrapping"/>
            </w:r>
            <w:r>
              <w:rPr>
                <w:rFonts w:hint="eastAsia" w:ascii="仿宋_GB2312" w:eastAsia="仿宋_GB2312"/>
                <w:sz w:val="18"/>
                <w:szCs w:val="18"/>
              </w:rPr>
              <w:t>2.案由；</w:t>
            </w:r>
            <w:r>
              <w:rPr>
                <w:rFonts w:hint="eastAsia" w:ascii="仿宋_GB2312" w:eastAsia="仿宋_GB2312"/>
                <w:sz w:val="18"/>
                <w:szCs w:val="18"/>
              </w:rPr>
              <w:br w:type="textWrapping"/>
            </w:r>
            <w:r>
              <w:rPr>
                <w:rFonts w:hint="eastAsia" w:ascii="仿宋_GB2312" w:eastAsia="仿宋_GB2312"/>
                <w:sz w:val="18"/>
                <w:szCs w:val="18"/>
              </w:rPr>
              <w:t>3.处罚依据；</w:t>
            </w:r>
            <w:r>
              <w:rPr>
                <w:rFonts w:hint="eastAsia" w:ascii="仿宋_GB2312" w:eastAsia="仿宋_GB2312"/>
                <w:sz w:val="18"/>
                <w:szCs w:val="18"/>
              </w:rPr>
              <w:br w:type="textWrapping"/>
            </w:r>
            <w:r>
              <w:rPr>
                <w:rFonts w:hint="eastAsia" w:ascii="仿宋_GB2312" w:eastAsia="仿宋_GB2312"/>
                <w:sz w:val="18"/>
                <w:szCs w:val="18"/>
              </w:rPr>
              <w:t>4.处罚结果。</w:t>
            </w:r>
          </w:p>
        </w:tc>
        <w:tc>
          <w:tcPr>
            <w:tcW w:w="1980" w:type="dxa"/>
            <w:vAlign w:val="center"/>
          </w:tcPr>
          <w:p w14:paraId="4BB1C179">
            <w:pPr>
              <w:spacing w:line="240" w:lineRule="auto"/>
              <w:rPr>
                <w:rFonts w:ascii="仿宋_GB2312" w:eastAsia="仿宋_GB2312"/>
                <w:sz w:val="18"/>
                <w:szCs w:val="18"/>
              </w:rPr>
            </w:pPr>
            <w:r>
              <w:rPr>
                <w:rFonts w:hint="eastAsia" w:ascii="仿宋_GB2312" w:eastAsia="仿宋_GB2312"/>
                <w:sz w:val="18"/>
                <w:szCs w:val="18"/>
              </w:rPr>
              <w:t>《营业性演出管理条例》、《国务院关于促进市场公平竞争维护市场正常秩序的若干意见》、《国务院办公厅关于全面推行行政执法公示制度执法全过程记录制度重大执法决定法制审核制度的指导意见》、《营业性演出管理条例实施细则》</w:t>
            </w:r>
          </w:p>
        </w:tc>
        <w:tc>
          <w:tcPr>
            <w:tcW w:w="1814" w:type="dxa"/>
            <w:vAlign w:val="center"/>
          </w:tcPr>
          <w:p w14:paraId="1D6FB3C9">
            <w:pPr>
              <w:spacing w:line="240" w:lineRule="auto"/>
              <w:rPr>
                <w:rFonts w:ascii="仿宋_GB2312" w:eastAsia="仿宋_GB2312"/>
                <w:sz w:val="18"/>
                <w:szCs w:val="18"/>
              </w:rPr>
            </w:pPr>
            <w:r>
              <w:rPr>
                <w:rFonts w:hint="eastAsia" w:ascii="仿宋_GB2312" w:eastAsia="仿宋_GB2312"/>
                <w:sz w:val="18"/>
                <w:szCs w:val="18"/>
              </w:rPr>
              <w:t>执法决定信息在决定作出之日起7个工作日内公开，其他相关信息形成或变更之日起20个工作日内公开</w:t>
            </w:r>
          </w:p>
        </w:tc>
        <w:tc>
          <w:tcPr>
            <w:tcW w:w="1426" w:type="dxa"/>
            <w:vAlign w:val="center"/>
          </w:tcPr>
          <w:p w14:paraId="6C1748D9">
            <w:pPr>
              <w:spacing w:line="240" w:lineRule="auto"/>
              <w:rPr>
                <w:rFonts w:ascii="仿宋_GB2312" w:eastAsia="仿宋_GB2312"/>
                <w:sz w:val="18"/>
                <w:szCs w:val="18"/>
              </w:rPr>
            </w:pPr>
            <w:r>
              <w:rPr>
                <w:rFonts w:hint="eastAsia" w:ascii="仿宋_GB2312" w:eastAsia="仿宋_GB2312"/>
                <w:sz w:val="18"/>
                <w:szCs w:val="18"/>
              </w:rPr>
              <w:t>文化广电和旅游局</w:t>
            </w:r>
          </w:p>
        </w:tc>
        <w:tc>
          <w:tcPr>
            <w:tcW w:w="1440" w:type="dxa"/>
            <w:vAlign w:val="center"/>
          </w:tcPr>
          <w:p w14:paraId="69A6A3C5">
            <w:pPr>
              <w:spacing w:line="240" w:lineRule="auto"/>
              <w:rPr>
                <w:rFonts w:ascii="仿宋_GB2312" w:eastAsia="仿宋_GB2312"/>
                <w:sz w:val="18"/>
                <w:szCs w:val="18"/>
              </w:rPr>
            </w:pPr>
            <w:r>
              <w:rPr>
                <w:rFonts w:hint="eastAsia" w:ascii="仿宋_GB2312" w:eastAsia="仿宋_GB2312"/>
                <w:sz w:val="18"/>
                <w:szCs w:val="18"/>
              </w:rPr>
              <w:t xml:space="preserve">■政府网站       </w:t>
            </w:r>
          </w:p>
        </w:tc>
        <w:tc>
          <w:tcPr>
            <w:tcW w:w="720" w:type="dxa"/>
            <w:vAlign w:val="center"/>
          </w:tcPr>
          <w:p w14:paraId="0D3BF3C4">
            <w:pPr>
              <w:spacing w:line="240" w:lineRule="auto"/>
              <w:jc w:val="center"/>
              <w:rPr>
                <w:rFonts w:ascii="仿宋_GB2312" w:eastAsia="仿宋_GB2312"/>
                <w:sz w:val="18"/>
                <w:szCs w:val="18"/>
              </w:rPr>
            </w:pPr>
            <w:r>
              <w:rPr>
                <w:rFonts w:hint="eastAsia" w:ascii="仿宋_GB2312" w:eastAsia="仿宋_GB2312"/>
                <w:sz w:val="18"/>
                <w:szCs w:val="18"/>
              </w:rPr>
              <w:t>√</w:t>
            </w:r>
          </w:p>
        </w:tc>
        <w:tc>
          <w:tcPr>
            <w:tcW w:w="709" w:type="dxa"/>
            <w:vAlign w:val="center"/>
          </w:tcPr>
          <w:p w14:paraId="55955CDA">
            <w:pPr>
              <w:spacing w:line="240" w:lineRule="auto"/>
              <w:jc w:val="center"/>
              <w:rPr>
                <w:rFonts w:ascii="仿宋_GB2312" w:eastAsia="仿宋_GB2312"/>
                <w:sz w:val="18"/>
                <w:szCs w:val="18"/>
              </w:rPr>
            </w:pPr>
          </w:p>
        </w:tc>
        <w:tc>
          <w:tcPr>
            <w:tcW w:w="551" w:type="dxa"/>
            <w:vAlign w:val="center"/>
          </w:tcPr>
          <w:p w14:paraId="1E1A3299">
            <w:pPr>
              <w:spacing w:line="240" w:lineRule="auto"/>
              <w:jc w:val="center"/>
              <w:rPr>
                <w:rFonts w:ascii="仿宋_GB2312" w:eastAsia="仿宋_GB2312"/>
                <w:sz w:val="18"/>
                <w:szCs w:val="18"/>
              </w:rPr>
            </w:pPr>
            <w:r>
              <w:rPr>
                <w:rFonts w:hint="eastAsia" w:ascii="仿宋_GB2312" w:eastAsia="仿宋_GB2312"/>
                <w:sz w:val="18"/>
                <w:szCs w:val="18"/>
              </w:rPr>
              <w:t>√</w:t>
            </w:r>
          </w:p>
        </w:tc>
        <w:tc>
          <w:tcPr>
            <w:tcW w:w="720" w:type="dxa"/>
            <w:vAlign w:val="center"/>
          </w:tcPr>
          <w:p w14:paraId="4CC40C7C">
            <w:pPr>
              <w:spacing w:line="240" w:lineRule="auto"/>
              <w:jc w:val="center"/>
              <w:rPr>
                <w:rFonts w:ascii="仿宋_GB2312" w:eastAsia="仿宋_GB2312"/>
                <w:sz w:val="18"/>
                <w:szCs w:val="18"/>
              </w:rPr>
            </w:pPr>
          </w:p>
        </w:tc>
      </w:tr>
      <w:tr w14:paraId="6A4B4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3CEEDF76">
            <w:pPr>
              <w:spacing w:line="240" w:lineRule="auto"/>
              <w:jc w:val="center"/>
              <w:rPr>
                <w:rFonts w:hint="eastAsia" w:ascii="仿宋_GB2312" w:eastAsia="仿宋_GB2312"/>
                <w:sz w:val="18"/>
                <w:szCs w:val="18"/>
                <w:lang w:val="en-US" w:eastAsia="zh-CN"/>
              </w:rPr>
            </w:pPr>
            <w:r>
              <w:rPr>
                <w:rFonts w:hint="eastAsia" w:ascii="仿宋_GB2312" w:eastAsia="仿宋_GB2312"/>
                <w:sz w:val="18"/>
                <w:szCs w:val="18"/>
                <w:lang w:val="en-US" w:eastAsia="zh-CN"/>
              </w:rPr>
              <w:t>4</w:t>
            </w:r>
          </w:p>
        </w:tc>
        <w:tc>
          <w:tcPr>
            <w:tcW w:w="734" w:type="dxa"/>
            <w:vAlign w:val="center"/>
          </w:tcPr>
          <w:p w14:paraId="34E36E40">
            <w:pPr>
              <w:spacing w:line="240" w:lineRule="auto"/>
              <w:rPr>
                <w:rFonts w:ascii="仿宋_GB2312" w:eastAsia="仿宋_GB2312"/>
                <w:sz w:val="18"/>
                <w:szCs w:val="18"/>
              </w:rPr>
            </w:pPr>
            <w:r>
              <w:rPr>
                <w:rFonts w:hint="eastAsia" w:ascii="仿宋_GB2312" w:eastAsia="仿宋_GB2312"/>
                <w:sz w:val="18"/>
                <w:szCs w:val="18"/>
              </w:rPr>
              <w:t>公共服务</w:t>
            </w:r>
          </w:p>
        </w:tc>
        <w:tc>
          <w:tcPr>
            <w:tcW w:w="1620" w:type="dxa"/>
            <w:vAlign w:val="center"/>
          </w:tcPr>
          <w:p w14:paraId="708E944C">
            <w:pPr>
              <w:spacing w:line="240" w:lineRule="auto"/>
              <w:rPr>
                <w:rFonts w:ascii="仿宋_GB2312" w:eastAsia="仿宋_GB2312"/>
                <w:sz w:val="18"/>
                <w:szCs w:val="18"/>
              </w:rPr>
            </w:pPr>
            <w:r>
              <w:rPr>
                <w:rFonts w:hint="eastAsia" w:ascii="仿宋_GB2312" w:eastAsia="仿宋_GB2312"/>
                <w:sz w:val="18"/>
                <w:szCs w:val="18"/>
              </w:rPr>
              <w:t>组织开展群众文化活动</w:t>
            </w:r>
          </w:p>
        </w:tc>
        <w:tc>
          <w:tcPr>
            <w:tcW w:w="1786" w:type="dxa"/>
            <w:vAlign w:val="center"/>
          </w:tcPr>
          <w:p w14:paraId="750BE954">
            <w:pPr>
              <w:spacing w:line="240" w:lineRule="auto"/>
              <w:rPr>
                <w:rFonts w:ascii="仿宋_GB2312" w:eastAsia="仿宋_GB2312"/>
                <w:sz w:val="18"/>
                <w:szCs w:val="18"/>
              </w:rPr>
            </w:pPr>
            <w:r>
              <w:rPr>
                <w:rFonts w:hint="eastAsia" w:ascii="仿宋_GB2312" w:eastAsia="仿宋_GB2312"/>
                <w:sz w:val="18"/>
                <w:szCs w:val="18"/>
              </w:rPr>
              <w:t>1.机构名称；</w:t>
            </w:r>
            <w:r>
              <w:rPr>
                <w:rFonts w:hint="eastAsia" w:ascii="仿宋_GB2312" w:eastAsia="仿宋_GB2312"/>
                <w:sz w:val="18"/>
                <w:szCs w:val="18"/>
              </w:rPr>
              <w:br w:type="textWrapping"/>
            </w:r>
            <w:r>
              <w:rPr>
                <w:rFonts w:hint="eastAsia" w:ascii="仿宋_GB2312" w:eastAsia="仿宋_GB2312"/>
                <w:sz w:val="18"/>
                <w:szCs w:val="18"/>
              </w:rPr>
              <w:t>2.开放时间；</w:t>
            </w:r>
            <w:r>
              <w:rPr>
                <w:rFonts w:hint="eastAsia" w:ascii="仿宋_GB2312" w:eastAsia="仿宋_GB2312"/>
                <w:sz w:val="18"/>
                <w:szCs w:val="18"/>
              </w:rPr>
              <w:br w:type="textWrapping"/>
            </w:r>
            <w:r>
              <w:rPr>
                <w:rFonts w:hint="eastAsia" w:ascii="仿宋_GB2312" w:eastAsia="仿宋_GB2312"/>
                <w:sz w:val="18"/>
                <w:szCs w:val="18"/>
              </w:rPr>
              <w:t>3.机构地址；</w:t>
            </w:r>
            <w:r>
              <w:rPr>
                <w:rFonts w:hint="eastAsia" w:ascii="仿宋_GB2312" w:eastAsia="仿宋_GB2312"/>
                <w:sz w:val="18"/>
                <w:szCs w:val="18"/>
              </w:rPr>
              <w:br w:type="textWrapping"/>
            </w:r>
            <w:r>
              <w:rPr>
                <w:rFonts w:hint="eastAsia" w:ascii="仿宋_GB2312" w:eastAsia="仿宋_GB2312"/>
                <w:sz w:val="18"/>
                <w:szCs w:val="18"/>
              </w:rPr>
              <w:t>4.联系电话；</w:t>
            </w:r>
            <w:r>
              <w:rPr>
                <w:rFonts w:hint="eastAsia" w:ascii="仿宋_GB2312" w:eastAsia="仿宋_GB2312"/>
                <w:sz w:val="18"/>
                <w:szCs w:val="18"/>
              </w:rPr>
              <w:br w:type="textWrapping"/>
            </w:r>
            <w:r>
              <w:rPr>
                <w:rFonts w:hint="eastAsia" w:ascii="仿宋_GB2312" w:eastAsia="仿宋_GB2312"/>
                <w:sz w:val="18"/>
                <w:szCs w:val="18"/>
              </w:rPr>
              <w:t>5.临时停止活动信息。</w:t>
            </w:r>
          </w:p>
        </w:tc>
        <w:tc>
          <w:tcPr>
            <w:tcW w:w="1980" w:type="dxa"/>
            <w:vAlign w:val="center"/>
          </w:tcPr>
          <w:p w14:paraId="61871319">
            <w:pPr>
              <w:spacing w:line="240" w:lineRule="auto"/>
              <w:rPr>
                <w:rFonts w:ascii="仿宋_GB2312" w:eastAsia="仿宋_GB2312"/>
                <w:sz w:val="18"/>
                <w:szCs w:val="18"/>
              </w:rPr>
            </w:pPr>
            <w:r>
              <w:rPr>
                <w:rFonts w:hint="eastAsia" w:ascii="仿宋_GB2312" w:eastAsia="仿宋_GB2312"/>
                <w:sz w:val="18"/>
                <w:szCs w:val="18"/>
                <w:lang w:eastAsia="zh-CN"/>
              </w:rPr>
              <w:t>《中华人民共和国政府信息公开条例》</w:t>
            </w:r>
            <w:r>
              <w:rPr>
                <w:rFonts w:hint="eastAsia" w:ascii="仿宋_GB2312" w:eastAsia="仿宋_GB2312"/>
                <w:sz w:val="18"/>
                <w:szCs w:val="18"/>
              </w:rPr>
              <w:t>、《文化馆服务标准》</w:t>
            </w:r>
          </w:p>
        </w:tc>
        <w:tc>
          <w:tcPr>
            <w:tcW w:w="1814" w:type="dxa"/>
            <w:vAlign w:val="center"/>
          </w:tcPr>
          <w:p w14:paraId="7120ADC1">
            <w:pPr>
              <w:spacing w:line="240" w:lineRule="auto"/>
              <w:rPr>
                <w:rFonts w:ascii="仿宋_GB2312" w:eastAsia="仿宋_GB2312"/>
                <w:sz w:val="18"/>
                <w:szCs w:val="18"/>
              </w:rPr>
            </w:pPr>
            <w:r>
              <w:rPr>
                <w:rFonts w:hint="eastAsia" w:ascii="仿宋_GB2312" w:eastAsia="仿宋_GB2312"/>
                <w:sz w:val="18"/>
                <w:szCs w:val="18"/>
              </w:rPr>
              <w:t>信息形成或变更之日起20个工作日内公开</w:t>
            </w:r>
          </w:p>
        </w:tc>
        <w:tc>
          <w:tcPr>
            <w:tcW w:w="1426" w:type="dxa"/>
            <w:vAlign w:val="center"/>
          </w:tcPr>
          <w:p w14:paraId="0F7FF7BF">
            <w:pPr>
              <w:spacing w:line="240" w:lineRule="auto"/>
              <w:rPr>
                <w:rFonts w:ascii="仿宋_GB2312" w:eastAsia="仿宋_GB2312"/>
                <w:sz w:val="18"/>
                <w:szCs w:val="18"/>
              </w:rPr>
            </w:pPr>
            <w:r>
              <w:rPr>
                <w:rFonts w:hint="eastAsia" w:ascii="仿宋_GB2312" w:eastAsia="仿宋_GB2312"/>
                <w:sz w:val="18"/>
                <w:szCs w:val="18"/>
              </w:rPr>
              <w:t>文化广电和旅游局，相关公共文化服务机构</w:t>
            </w:r>
          </w:p>
        </w:tc>
        <w:tc>
          <w:tcPr>
            <w:tcW w:w="1440" w:type="dxa"/>
            <w:vAlign w:val="center"/>
          </w:tcPr>
          <w:p w14:paraId="392F8CF0">
            <w:pPr>
              <w:spacing w:line="240" w:lineRule="auto"/>
              <w:rPr>
                <w:rFonts w:ascii="仿宋_GB2312" w:eastAsia="仿宋_GB2312"/>
                <w:sz w:val="18"/>
                <w:szCs w:val="18"/>
              </w:rPr>
            </w:pPr>
            <w:r>
              <w:rPr>
                <w:rFonts w:hint="eastAsia" w:ascii="仿宋_GB2312" w:eastAsia="仿宋_GB2312"/>
                <w:sz w:val="18"/>
                <w:szCs w:val="18"/>
              </w:rPr>
              <w:t>■政府网站</w:t>
            </w:r>
          </w:p>
          <w:p w14:paraId="33E26CC4">
            <w:pPr>
              <w:spacing w:line="240" w:lineRule="auto"/>
              <w:rPr>
                <w:rFonts w:ascii="仿宋_GB2312" w:eastAsia="仿宋_GB2312"/>
                <w:sz w:val="18"/>
                <w:szCs w:val="18"/>
              </w:rPr>
            </w:pPr>
            <w:r>
              <w:rPr>
                <w:rFonts w:hint="eastAsia" w:ascii="仿宋_GB2312" w:eastAsia="仿宋_GB2312"/>
                <w:sz w:val="18"/>
                <w:szCs w:val="18"/>
              </w:rPr>
              <w:t>■政务新媒体</w:t>
            </w:r>
          </w:p>
          <w:p w14:paraId="1C9C72DE">
            <w:pPr>
              <w:spacing w:line="240" w:lineRule="auto"/>
              <w:rPr>
                <w:rFonts w:ascii="仿宋_GB2312" w:eastAsia="仿宋_GB2312"/>
                <w:sz w:val="18"/>
                <w:szCs w:val="18"/>
              </w:rPr>
            </w:pPr>
            <w:r>
              <w:rPr>
                <w:rFonts w:hint="eastAsia" w:ascii="仿宋_GB2312" w:eastAsia="仿宋_GB2312"/>
                <w:sz w:val="18"/>
                <w:szCs w:val="18"/>
              </w:rPr>
              <w:t>■电视</w:t>
            </w:r>
          </w:p>
        </w:tc>
        <w:tc>
          <w:tcPr>
            <w:tcW w:w="720" w:type="dxa"/>
            <w:vAlign w:val="center"/>
          </w:tcPr>
          <w:p w14:paraId="249D8E3B">
            <w:pPr>
              <w:spacing w:line="240" w:lineRule="auto"/>
              <w:jc w:val="center"/>
              <w:rPr>
                <w:rFonts w:ascii="仿宋_GB2312" w:eastAsia="仿宋_GB2312"/>
                <w:sz w:val="18"/>
                <w:szCs w:val="18"/>
              </w:rPr>
            </w:pPr>
            <w:r>
              <w:rPr>
                <w:rFonts w:hint="eastAsia" w:ascii="仿宋_GB2312" w:eastAsia="仿宋_GB2312"/>
                <w:sz w:val="18"/>
                <w:szCs w:val="18"/>
              </w:rPr>
              <w:t>√</w:t>
            </w:r>
          </w:p>
        </w:tc>
        <w:tc>
          <w:tcPr>
            <w:tcW w:w="709" w:type="dxa"/>
            <w:vAlign w:val="center"/>
          </w:tcPr>
          <w:p w14:paraId="32CC3D3E">
            <w:pPr>
              <w:spacing w:line="240" w:lineRule="auto"/>
              <w:jc w:val="center"/>
              <w:rPr>
                <w:rFonts w:ascii="仿宋_GB2312" w:eastAsia="仿宋_GB2312"/>
                <w:sz w:val="18"/>
                <w:szCs w:val="18"/>
              </w:rPr>
            </w:pPr>
          </w:p>
        </w:tc>
        <w:tc>
          <w:tcPr>
            <w:tcW w:w="551" w:type="dxa"/>
            <w:vAlign w:val="center"/>
          </w:tcPr>
          <w:p w14:paraId="3E023880">
            <w:pPr>
              <w:spacing w:line="240" w:lineRule="auto"/>
              <w:jc w:val="center"/>
              <w:rPr>
                <w:rFonts w:ascii="仿宋_GB2312" w:eastAsia="仿宋_GB2312"/>
                <w:sz w:val="18"/>
                <w:szCs w:val="18"/>
              </w:rPr>
            </w:pPr>
            <w:r>
              <w:rPr>
                <w:rFonts w:hint="eastAsia" w:ascii="仿宋_GB2312" w:eastAsia="仿宋_GB2312"/>
                <w:sz w:val="18"/>
                <w:szCs w:val="18"/>
              </w:rPr>
              <w:t>√</w:t>
            </w:r>
          </w:p>
        </w:tc>
        <w:tc>
          <w:tcPr>
            <w:tcW w:w="720" w:type="dxa"/>
            <w:vAlign w:val="center"/>
          </w:tcPr>
          <w:p w14:paraId="6A636CA2">
            <w:pPr>
              <w:spacing w:line="240" w:lineRule="auto"/>
              <w:jc w:val="center"/>
              <w:rPr>
                <w:rFonts w:ascii="仿宋_GB2312" w:eastAsia="仿宋_GB2312"/>
                <w:sz w:val="18"/>
                <w:szCs w:val="18"/>
              </w:rPr>
            </w:pPr>
          </w:p>
        </w:tc>
      </w:tr>
    </w:tbl>
    <w:p w14:paraId="6877BF01"/>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yNjg3NDg1OTI2NmY3YTk2YTQ5NzVmOTA3ZTM4YTYifQ=="/>
  </w:docVars>
  <w:rsids>
    <w:rsidRoot w:val="1C025B9B"/>
    <w:rsid w:val="0B460FFD"/>
    <w:rsid w:val="1C025B9B"/>
    <w:rsid w:val="2937126E"/>
    <w:rsid w:val="65245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jc w:val="both"/>
    </w:pPr>
    <w:rPr>
      <w:rFonts w:ascii="Calibri" w:hAnsi="Calibri" w:eastAsia="宋体" w:cs="Times New Roman"/>
      <w:kern w:val="2"/>
      <w:sz w:val="32"/>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方正小标宋简体"/>
      <w:bCs/>
      <w:kern w:val="44"/>
      <w:sz w:val="30"/>
      <w:szCs w:val="4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814</Words>
  <Characters>835</Characters>
  <Lines>0</Lines>
  <Paragraphs>0</Paragraphs>
  <TotalTime>0</TotalTime>
  <ScaleCrop>false</ScaleCrop>
  <LinksUpToDate>false</LinksUpToDate>
  <CharactersWithSpaces>856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2020-12-23T08:01:00Z</dcterms:created>
  <dc:creator>admin12</dc:creator>
  <cp:lastModifiedBy>%E5%AE%89%E7%90%AA%E5%84%BF</cp:lastModifiedBy>
  <dcterms:modified xsi:type="dcterms:W3CDTF">2024-07-04T07:55:58Z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FFF07D8A219D4E1986170F2CC938EAF7_12</vt:lpwstr>
  </property>
</Properties>
</file>